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6D1509" w:rsidRPr="006D1509" w:rsidRDefault="006D1509" w:rsidP="006D150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</w:t>
      </w:r>
      <w:r w:rsidRPr="006D1509">
        <w:rPr>
          <w:b/>
          <w:bCs/>
          <w:color w:val="333333"/>
          <w:sz w:val="28"/>
          <w:szCs w:val="28"/>
        </w:rPr>
        <w:t>орядок оплаты труда в выходные и праздничные дни</w:t>
      </w:r>
    </w:p>
    <w:p w:rsidR="006D1509" w:rsidRPr="006D1509" w:rsidRDefault="006D1509" w:rsidP="006D150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D1509">
        <w:rPr>
          <w:color w:val="000000"/>
          <w:sz w:val="28"/>
          <w:szCs w:val="28"/>
        </w:rPr>
        <w:t> </w:t>
      </w:r>
      <w:proofErr w:type="spellStart"/>
      <w:r w:rsidRPr="006D1509">
        <w:rPr>
          <w:color w:val="FFFFFF"/>
          <w:sz w:val="28"/>
          <w:szCs w:val="28"/>
        </w:rPr>
        <w:t>Текстелиться</w:t>
      </w:r>
      <w:proofErr w:type="spellEnd"/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соответствии с ч.3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дискриминации.Работа в выходные и нерабочие праздничные дни запрещена (статья 113 ТК РФ), к исключительным случаям привлечения работников к работе в указанные дни относится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зависимости от конкретных обстоятельств работодатель может привлекать работников к работе в выходные и нерабочие праздничные дни либо без их согласия, либо только с письменного согласия работника, а в отдельных случаях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без их согласия допускается для предотвращения катастрофы, производственной аварии либо устранения последствий катастрофы, производственной аварии или стихийного бедствия; предотвращения несчастных случаев, уничтожения или порчи имущества работодателя, государственного или муниципального имущества;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Работа в выходной или нерабочий праздничный день оплачивается не менее чем в двойном размере (статья 153 ТК РФ):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-сдельщикам - не менее чем по двойным сдельным расценкам;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получающим оклад (должностной оклад), - в размере не менее одинарной дневной или часовой ставки - части оклада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сверх оклада (должностного оклада), если работа производилась сверх месячной нормы рабочего времени.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 xml:space="preserve">Конкретные размеры оплаты устанавливаются в коллективном договоре, локальном нормативном акте, который в этом случае должен </w:t>
      </w:r>
      <w:r w:rsidRPr="006D1509">
        <w:rPr>
          <w:color w:val="333333"/>
          <w:sz w:val="28"/>
          <w:szCs w:val="28"/>
        </w:rPr>
        <w:lastRenderedPageBreak/>
        <w:t>приниматься с учетом мнения представительного органа работников. Они могут быть повышены и по соглашению сторон трудового договора. Под окладом (должностным окладом) понимается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Согласно правовой позиции, изложенной в Постановлении Конституционного Суда Российской Федерации от 28.08.2018 № 26-П, оплата труда работников, привлекавшихся к работе в выходные и (или) нерабочие праздничные дни, включает в себя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компенсационные и стимулирующие выплаты, предусмотренные установленной для них системой оплаты труда.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D1509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34704" w:rsidRPr="00687BC3" w:rsidRDefault="00034704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29B6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008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2020-12-28T18:12:00Z</cp:lastPrinted>
  <dcterms:created xsi:type="dcterms:W3CDTF">2021-01-11T03:53:00Z</dcterms:created>
  <dcterms:modified xsi:type="dcterms:W3CDTF">2021-01-11T03:53:00Z</dcterms:modified>
</cp:coreProperties>
</file>